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1DE138ED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Abhay Pande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9823199007</w:t>
      </w:r>
      <w:r w:rsidR="009F5ABB">
        <w:rPr>
          <w:rFonts w:ascii="Bookman Old Style" w:hAnsi="Bookman Old Style" w:cs="Times New Roman"/>
          <w:b/>
          <w:bCs/>
          <w:sz w:val="20"/>
          <w:szCs w:val="20"/>
        </w:rPr>
        <w:t xml:space="preserve">/Abhishek Pokharkar - </w:t>
      </w:r>
      <w:r w:rsidR="000C4482">
        <w:rPr>
          <w:rFonts w:ascii="Bookman Old Style" w:hAnsi="Bookman Old Style" w:cs="Times New Roman"/>
          <w:b/>
          <w:bCs/>
          <w:sz w:val="20"/>
          <w:szCs w:val="20"/>
        </w:rPr>
        <w:t>9139131231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2F96DF42" w:rsidR="009E2226" w:rsidRPr="00484C14" w:rsidRDefault="0066676D" w:rsidP="009E2226">
            <w:pPr>
              <w:jc w:val="center"/>
              <w:rPr>
                <w:color w:val="000000" w:themeColor="text1"/>
              </w:rPr>
            </w:pPr>
            <w:r w:rsidRPr="004A0812">
              <w:rPr>
                <w:rFonts w:ascii="Cambria" w:hAnsi="Cambria"/>
                <w:b/>
                <w:bCs/>
                <w:noProof/>
              </w:rPr>
              <w:t>LNNAG0HL-10230036904</w:t>
            </w:r>
          </w:p>
          <w:p w14:paraId="644FE888" w14:textId="77777777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4354B6EF" w14:textId="7ABA8CB8" w:rsidR="00686452" w:rsidRPr="002B30BD" w:rsidRDefault="002B30BD" w:rsidP="009E222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2B30BD">
              <w:rPr>
                <w:rFonts w:ascii="Cambria" w:hAnsi="Cambria"/>
                <w:bCs/>
                <w:color w:val="000000" w:themeColor="text1"/>
              </w:rPr>
              <w:t>NAGPUR</w:t>
            </w:r>
          </w:p>
          <w:p w14:paraId="3F9386AD" w14:textId="065699BE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0A23C170" w14:textId="671F2269" w:rsidR="009E2226" w:rsidRPr="00484C14" w:rsidRDefault="0066676D" w:rsidP="009E2226">
            <w:pPr>
              <w:jc w:val="center"/>
              <w:rPr>
                <w:b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ARUN RAMCHAND BAGADE</w:t>
            </w:r>
            <w:r w:rsidRPr="00484C14">
              <w:rPr>
                <w:b/>
                <w:color w:val="000000" w:themeColor="text1"/>
              </w:rPr>
              <w:t xml:space="preserve"> </w:t>
            </w:r>
            <w:r w:rsidR="009E2226" w:rsidRPr="00484C14">
              <w:rPr>
                <w:b/>
                <w:color w:val="000000" w:themeColor="text1"/>
              </w:rPr>
              <w:t>CO-BORROWER(S):</w:t>
            </w:r>
          </w:p>
          <w:p w14:paraId="293B4041" w14:textId="26599C88" w:rsidR="009E2226" w:rsidRPr="0066676D" w:rsidRDefault="0066676D" w:rsidP="009E2226">
            <w:pPr>
              <w:jc w:val="center"/>
              <w:rPr>
                <w:bCs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HOMESHWARI ARUN BAGADE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199B3750" w:rsidR="009E2226" w:rsidRPr="00484C14" w:rsidRDefault="00090F87" w:rsidP="009E2226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 w:rsidR="0066676D">
              <w:rPr>
                <w:b/>
              </w:rPr>
              <w:t>3</w:t>
            </w:r>
            <w:r w:rsidRPr="00484C14">
              <w:rPr>
                <w:b/>
              </w:rPr>
              <w:t>/</w:t>
            </w:r>
            <w:r w:rsidR="0066676D">
              <w:rPr>
                <w:b/>
              </w:rPr>
              <w:t>12</w:t>
            </w:r>
            <w:r w:rsidRPr="00484C14">
              <w:rPr>
                <w:b/>
              </w:rPr>
              <w:t>/202</w:t>
            </w:r>
            <w:r w:rsidR="00686452" w:rsidRPr="00484C14">
              <w:rPr>
                <w:b/>
              </w:rPr>
              <w:t>4</w:t>
            </w:r>
          </w:p>
          <w:p w14:paraId="611CB549" w14:textId="086D719C" w:rsidR="009E2226" w:rsidRPr="00484C14" w:rsidRDefault="0066676D" w:rsidP="009E2226">
            <w:pPr>
              <w:ind w:left="65" w:right="131"/>
              <w:jc w:val="center"/>
              <w:rPr>
                <w:b/>
              </w:rPr>
            </w:pPr>
            <w:r w:rsidRPr="0066676D">
              <w:rPr>
                <w:rFonts w:ascii="Cambria" w:hAnsi="Cambria"/>
                <w:bCs/>
              </w:rPr>
              <w:t xml:space="preserve">Rs. </w:t>
            </w:r>
            <w:r w:rsidRPr="0066676D">
              <w:rPr>
                <w:rFonts w:ascii="Cambria" w:hAnsi="Cambria"/>
                <w:bCs/>
                <w:noProof/>
              </w:rPr>
              <w:t>14,38,105</w:t>
            </w:r>
            <w:r w:rsidRPr="0066676D">
              <w:rPr>
                <w:rFonts w:ascii="Cambria" w:hAnsi="Cambria"/>
                <w:bCs/>
              </w:rPr>
              <w:t>/- (</w:t>
            </w:r>
            <w:r w:rsidRPr="0066676D">
              <w:rPr>
                <w:rFonts w:ascii="Cambria" w:hAnsi="Cambria"/>
                <w:bCs/>
                <w:noProof/>
              </w:rPr>
              <w:t>RUPEES FOURTEEN LAKH THIRTY EIGHT THOUSAND ONE HUNDRED FIVE ONLY</w:t>
            </w:r>
            <w:r w:rsidRPr="0066676D">
              <w:rPr>
                <w:rFonts w:ascii="Cambria" w:hAnsi="Cambria"/>
                <w:bCs/>
              </w:rPr>
              <w:t xml:space="preserve">) AS ON </w:t>
            </w:r>
            <w:r w:rsidRPr="0066676D">
              <w:rPr>
                <w:rFonts w:ascii="Cambria" w:eastAsia="Times New Roman" w:hAnsi="Cambria"/>
                <w:bCs/>
                <w:noProof/>
                <w:color w:val="000000"/>
              </w:rPr>
              <w:t>10-Dec-2024</w:t>
            </w:r>
            <w:r w:rsidRPr="0066676D">
              <w:rPr>
                <w:rFonts w:ascii="Cambria" w:hAnsi="Cambria"/>
                <w:bCs/>
              </w:rPr>
              <w:t>.</w:t>
            </w:r>
            <w:r w:rsidR="0090473F" w:rsidRPr="00484C14">
              <w:rPr>
                <w:bCs/>
              </w:rPr>
              <w:t xml:space="preserve"> </w:t>
            </w:r>
            <w:r w:rsidR="003A4AD3" w:rsidRPr="00484C14">
              <w:rPr>
                <w:bCs/>
              </w:rPr>
              <w:t>ALONG WITH FURTHER</w:t>
            </w:r>
            <w:r w:rsidR="003A4AD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4A810BA1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C7AC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12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711CFA44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C7AC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17E730FA" w:rsidR="009E2226" w:rsidRPr="003A4AD3" w:rsidRDefault="003545AF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9E2226" w:rsidRPr="003A4AD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3C7B9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3C7B9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5E3831" w:rsidRPr="00632236" w14:paraId="1DF2DE8D" w14:textId="77777777" w:rsidTr="005B0486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61EFD93" w14:textId="6156F778" w:rsidR="005E3831" w:rsidRDefault="005E3831" w:rsidP="005E3831">
            <w:pPr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66676D">
              <w:rPr>
                <w:rFonts w:ascii="Cambria" w:hAnsi="Cambria"/>
                <w:bCs/>
                <w:noProof/>
              </w:rPr>
              <w:t>ALL THAT PIECE AND PARCEL OF LAND BEARING PLOT NO. 38 HALF PORTION TOWARDS NORTHERN SIDE ADM. 75 SQ. MT. EUT OF KH. NO. 135/4, P.H. NO. 71. MOUZA: SHIRUL WITHIN THE LIMIT OF GRAM PANCHAYAT SHIRUL TAH. HINGNA &amp; DIST. NAGPUR. ON THE EAST :</w:t>
            </w:r>
            <w:r w:rsidRPr="0066676D">
              <w:rPr>
                <w:rFonts w:ascii="Cambria" w:hAnsi="Cambria"/>
                <w:bCs/>
                <w:noProof/>
              </w:rPr>
              <w:tab/>
              <w:t>PLOT NO. 36 AND 40, ON THE WEST: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66676D">
              <w:rPr>
                <w:rFonts w:ascii="Cambria" w:hAnsi="Cambria"/>
                <w:bCs/>
                <w:noProof/>
              </w:rPr>
              <w:t>6.00 MT ROAD, ON THE NORTH :PLOT NO. 39, ON THE SOUTH:</w:t>
            </w:r>
            <w:r w:rsidRPr="0066676D">
              <w:rPr>
                <w:rFonts w:ascii="Cambria" w:hAnsi="Cambria"/>
                <w:bCs/>
                <w:noProof/>
              </w:rPr>
              <w:tab/>
              <w:t>REMAINING PORTION OF PLOT NO. 38</w:t>
            </w:r>
          </w:p>
        </w:tc>
      </w:tr>
      <w:tr w:rsidR="005E3831" w:rsidRPr="00632236" w14:paraId="0345EB03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450796F" w14:textId="2940F2BF" w:rsidR="005E3831" w:rsidRPr="00484C14" w:rsidRDefault="005E3831" w:rsidP="005E3831">
            <w:pPr>
              <w:jc w:val="center"/>
              <w:rPr>
                <w:color w:val="000000" w:themeColor="text1"/>
              </w:rPr>
            </w:pPr>
            <w:r w:rsidRPr="0060248A">
              <w:rPr>
                <w:rFonts w:ascii="Cambria" w:hAnsi="Cambria"/>
                <w:b/>
                <w:bCs/>
                <w:noProof/>
              </w:rPr>
              <w:t>LNAHM0HL-09240047273</w:t>
            </w:r>
          </w:p>
          <w:p w14:paraId="3E4F518B" w14:textId="77777777" w:rsidR="005E3831" w:rsidRPr="00484C14" w:rsidRDefault="005E3831" w:rsidP="005E383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03F82082" w14:textId="431144AB" w:rsidR="005E3831" w:rsidRPr="002B30BD" w:rsidRDefault="005E3831" w:rsidP="005E3831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AHMEDNAGAR</w:t>
            </w:r>
          </w:p>
          <w:p w14:paraId="6103DAFD" w14:textId="77777777" w:rsidR="005E3831" w:rsidRPr="00484C14" w:rsidRDefault="005E3831" w:rsidP="005E383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2FC86454" w14:textId="77777777" w:rsidR="005E3831" w:rsidRPr="005E3831" w:rsidRDefault="005E3831" w:rsidP="005E3831">
            <w:pPr>
              <w:jc w:val="center"/>
              <w:rPr>
                <w:rFonts w:ascii="Cambria" w:hAnsi="Cambria"/>
                <w:bCs/>
                <w:noProof/>
              </w:rPr>
            </w:pPr>
            <w:r w:rsidRPr="005E3831">
              <w:rPr>
                <w:rFonts w:ascii="Cambria" w:hAnsi="Cambria"/>
                <w:bCs/>
                <w:noProof/>
              </w:rPr>
              <w:t>RAMESH BALASAHEB WARULE</w:t>
            </w:r>
          </w:p>
          <w:p w14:paraId="6BF50BDA" w14:textId="1BFF64BD" w:rsidR="005E3831" w:rsidRPr="00484C14" w:rsidRDefault="005E3831" w:rsidP="005E383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 xml:space="preserve"> CO-BORROWER(S):</w:t>
            </w:r>
          </w:p>
          <w:p w14:paraId="656446B6" w14:textId="627C6474" w:rsidR="005E3831" w:rsidRPr="005E3831" w:rsidRDefault="005E3831" w:rsidP="005E3831">
            <w:pPr>
              <w:jc w:val="center"/>
              <w:rPr>
                <w:rFonts w:ascii="Cambria" w:hAnsi="Cambria"/>
                <w:bCs/>
                <w:noProof/>
              </w:rPr>
            </w:pPr>
            <w:r w:rsidRPr="005E3831">
              <w:rPr>
                <w:rFonts w:ascii="Cambria" w:hAnsi="Cambria"/>
                <w:bCs/>
                <w:noProof/>
              </w:rPr>
              <w:t>MONIKA RMAESH WARULE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FFC4672" w14:textId="63A5CA9E" w:rsidR="005E3831" w:rsidRPr="00484C14" w:rsidRDefault="005E3831" w:rsidP="005E3831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484C14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484C1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52F98E8E" w14:textId="74790813" w:rsidR="005E3831" w:rsidRPr="00484C14" w:rsidRDefault="005E3831" w:rsidP="005E3831">
            <w:pPr>
              <w:ind w:left="65" w:right="131"/>
              <w:jc w:val="center"/>
              <w:rPr>
                <w:b/>
              </w:rPr>
            </w:pPr>
            <w:r w:rsidRPr="005E3831">
              <w:rPr>
                <w:bCs/>
              </w:rPr>
              <w:t>RS. 8,58,325/- (RUPEES EIGHT LAKH FIFTYEIGHT THOUSAND THREE HUNDRED TWENTYFIVE ONLY) ON 15-JUN-2025.</w:t>
            </w:r>
            <w:r w:rsidRPr="00484C14">
              <w:rPr>
                <w:bCs/>
              </w:rPr>
              <w:t xml:space="preserve"> ALONG WITH FURTHER</w:t>
            </w:r>
            <w:r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5E3831" w:rsidRPr="003A4AD3" w14:paraId="6D3FE15B" w14:textId="77777777" w:rsidTr="00515705">
              <w:trPr>
                <w:trHeight w:val="265"/>
              </w:trPr>
              <w:tc>
                <w:tcPr>
                  <w:tcW w:w="1836" w:type="dxa"/>
                </w:tcPr>
                <w:p w14:paraId="7BCFC830" w14:textId="6D397824" w:rsidR="005E3831" w:rsidRPr="003A4AD3" w:rsidRDefault="005E3831" w:rsidP="005E383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BE4F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BE4F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5E3831" w:rsidRPr="003A4AD3" w14:paraId="345ADD32" w14:textId="77777777" w:rsidTr="00515705">
              <w:trPr>
                <w:trHeight w:val="250"/>
              </w:trPr>
              <w:tc>
                <w:tcPr>
                  <w:tcW w:w="1836" w:type="dxa"/>
                </w:tcPr>
                <w:p w14:paraId="46B54D14" w14:textId="0AF502B8" w:rsidR="005E3831" w:rsidRPr="003A4AD3" w:rsidRDefault="005E3831" w:rsidP="005E383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</w:t>
                  </w:r>
                  <w:r w:rsidR="00BE4F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BE4FA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5E3831" w:rsidRPr="003A4AD3" w14:paraId="081BAAE5" w14:textId="77777777" w:rsidTr="00515705">
              <w:trPr>
                <w:trHeight w:val="250"/>
              </w:trPr>
              <w:tc>
                <w:tcPr>
                  <w:tcW w:w="1836" w:type="dxa"/>
                </w:tcPr>
                <w:p w14:paraId="1CE49458" w14:textId="77777777" w:rsidR="005E3831" w:rsidRPr="003A4AD3" w:rsidRDefault="005E3831" w:rsidP="005E383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877CC24" w14:textId="77777777" w:rsidR="005E3831" w:rsidRPr="003A4AD3" w:rsidRDefault="005E3831" w:rsidP="005E3831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ADEC0A4" w14:textId="77777777" w:rsidR="005E3831" w:rsidRPr="003A4AD3" w:rsidRDefault="005E3831" w:rsidP="005E383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6DF365B" w14:textId="48318A1C" w:rsidR="005E3831" w:rsidRPr="003A4AD3" w:rsidRDefault="00BE4FA9" w:rsidP="005E38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  <w:r w:rsidR="003545AF">
              <w:rPr>
                <w:b/>
                <w:bCs/>
                <w:color w:val="000000" w:themeColor="text1"/>
              </w:rPr>
              <w:t>9</w:t>
            </w:r>
            <w:r w:rsidR="005E3831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5E3831" w:rsidRPr="003A4AD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0C34FA28" w14:textId="77777777" w:rsidR="005E3831" w:rsidRPr="003A4AD3" w:rsidRDefault="005E3831" w:rsidP="005E3831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676D93BD" w14:textId="77777777" w:rsidR="005E3831" w:rsidRPr="003A4AD3" w:rsidRDefault="005E3831" w:rsidP="005E3831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E91325C" w14:textId="71C9B73D" w:rsidR="005E3831" w:rsidRDefault="005E3831" w:rsidP="005E3831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5E3831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663B5C02" w:rsidR="005E3831" w:rsidRPr="00484C14" w:rsidRDefault="005E3831" w:rsidP="00291FE3">
            <w:pPr>
              <w:jc w:val="both"/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291FE3" w:rsidRPr="00291FE3">
              <w:rPr>
                <w:rFonts w:ascii="Cambria" w:hAnsi="Cambria"/>
                <w:bCs/>
                <w:noProof/>
              </w:rPr>
              <w:t>ALL THAT PIECE AND PARCEL OF THE PROPERTY BEARING ROW HOUSE NO.4 ITS PLOT AREA ADM 49.94 SQ.MTRS, WITH CONSTRUCTION AREA ADM 33.59 SQ. MTRS ITS GRAMPANCHAYAT MILKAT NO.954/4, WHICH WAS DULY CONSTRUCTED ON 0H 02R OUT OF GAT NO.235/1 ITS TOTAL AREA ADM. 0H79 R SITUATED AT POKHARDI, WITHIN THE LIMITS OF ZP AHMEDNAGAR, TALNAGAR, DIST AHMEDNAGAR THE FOLLOWING BOUNDARIES ARE EAST-GUT NO.234, WEST-</w:t>
            </w:r>
            <w:r w:rsidR="00291FE3" w:rsidRPr="00291FE3">
              <w:rPr>
                <w:rFonts w:ascii="Cambria" w:hAnsi="Cambria"/>
                <w:bCs/>
                <w:noProof/>
              </w:rPr>
              <w:tab/>
              <w:t>12 FEET ROAD, NORTH-ROW HOUSE NO.3, SOUTH-GUT NO.235/1 LAND OF VISHWAKARMA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1EFE672B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D0EA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. Abhay Pande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 9823199007</w:t>
      </w:r>
      <w:r w:rsidR="000C4482">
        <w:rPr>
          <w:rFonts w:ascii="Bookman Old Style" w:hAnsi="Bookman Old Style" w:cs="Times New Roman"/>
          <w:b/>
          <w:bCs/>
          <w:sz w:val="20"/>
          <w:szCs w:val="20"/>
        </w:rPr>
        <w:t>/</w:t>
      </w:r>
      <w:r w:rsidR="000C4482" w:rsidRPr="000C4482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C4482">
        <w:rPr>
          <w:rFonts w:ascii="Bookman Old Style" w:hAnsi="Bookman Old Style" w:cs="Times New Roman"/>
          <w:b/>
          <w:bCs/>
          <w:sz w:val="20"/>
          <w:szCs w:val="20"/>
        </w:rPr>
        <w:t>Abhishek Pokharkar - 9139131231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90F87"/>
    <w:rsid w:val="000B28D1"/>
    <w:rsid w:val="000B349E"/>
    <w:rsid w:val="000C02F6"/>
    <w:rsid w:val="000C4482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81E1A"/>
    <w:rsid w:val="00291FE3"/>
    <w:rsid w:val="0029499D"/>
    <w:rsid w:val="00294D52"/>
    <w:rsid w:val="002B30BD"/>
    <w:rsid w:val="002D4CC1"/>
    <w:rsid w:val="002D5B24"/>
    <w:rsid w:val="002E4816"/>
    <w:rsid w:val="002E567D"/>
    <w:rsid w:val="00305DC4"/>
    <w:rsid w:val="003253E4"/>
    <w:rsid w:val="003406C5"/>
    <w:rsid w:val="003545AF"/>
    <w:rsid w:val="0036110D"/>
    <w:rsid w:val="00380B44"/>
    <w:rsid w:val="003A4AD3"/>
    <w:rsid w:val="003B61C4"/>
    <w:rsid w:val="003C0DAA"/>
    <w:rsid w:val="003C7B96"/>
    <w:rsid w:val="003D4003"/>
    <w:rsid w:val="00424215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5E3831"/>
    <w:rsid w:val="00620429"/>
    <w:rsid w:val="006226A2"/>
    <w:rsid w:val="0062752C"/>
    <w:rsid w:val="00633F9A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C7ACA"/>
    <w:rsid w:val="009D62BC"/>
    <w:rsid w:val="009E2226"/>
    <w:rsid w:val="009E2DF4"/>
    <w:rsid w:val="009F5ABB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BE4FA9"/>
    <w:rsid w:val="00C02E96"/>
    <w:rsid w:val="00C03826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9</cp:revision>
  <dcterms:created xsi:type="dcterms:W3CDTF">2025-12-04T06:12:00Z</dcterms:created>
  <dcterms:modified xsi:type="dcterms:W3CDTF">2025-12-05T12:33:00Z</dcterms:modified>
</cp:coreProperties>
</file>